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90086">
        <w:rPr>
          <w:sz w:val="28"/>
        </w:rPr>
        <w:t>Rubbellose</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90086" w:rsidTr="00190086">
        <w:tc>
          <w:tcPr>
            <w:tcW w:w="2466" w:type="dxa"/>
            <w:tcBorders>
              <w:top w:val="single" w:sz="4" w:space="0" w:color="auto"/>
            </w:tcBorders>
            <w:vAlign w:val="center"/>
          </w:tcPr>
          <w:p w:rsidR="00190086" w:rsidRDefault="00190086" w:rsidP="007363C8">
            <w:pPr>
              <w:pStyle w:val="IQB-Merkmal"/>
            </w:pPr>
            <w:r>
              <w:t>Leitidee</w:t>
            </w:r>
          </w:p>
        </w:tc>
        <w:tc>
          <w:tcPr>
            <w:tcW w:w="6604" w:type="dxa"/>
            <w:tcBorders>
              <w:top w:val="single" w:sz="4" w:space="0" w:color="auto"/>
            </w:tcBorders>
          </w:tcPr>
          <w:p w:rsidR="00190086" w:rsidRDefault="00190086" w:rsidP="007363C8">
            <w:pPr>
              <w:pStyle w:val="IQB-Merkmalswert"/>
            </w:pPr>
            <w:r>
              <w:t>5. Daten und Zufall</w:t>
            </w:r>
          </w:p>
        </w:tc>
      </w:tr>
      <w:tr w:rsidR="00190086" w:rsidTr="00190086">
        <w:tc>
          <w:tcPr>
            <w:tcW w:w="2466" w:type="dxa"/>
            <w:vAlign w:val="center"/>
          </w:tcPr>
          <w:p w:rsidR="00190086" w:rsidRDefault="00190086" w:rsidP="007363C8">
            <w:pPr>
              <w:pStyle w:val="IQB-Merkmal"/>
            </w:pPr>
            <w:r>
              <w:t>Allgemeine Kompetenz</w:t>
            </w:r>
          </w:p>
        </w:tc>
        <w:tc>
          <w:tcPr>
            <w:tcW w:w="6604" w:type="dxa"/>
          </w:tcPr>
          <w:p w:rsidR="00190086" w:rsidRDefault="00190086" w:rsidP="007363C8">
            <w:pPr>
              <w:pStyle w:val="IQB-Merkmalswert"/>
            </w:pPr>
            <w:r w:rsidRPr="008C18E4">
              <w:t>Mathematisches Modellieren (K3)</w:t>
            </w:r>
            <w:r>
              <w:t>,</w:t>
            </w:r>
          </w:p>
          <w:p w:rsidR="00190086" w:rsidRDefault="00190086" w:rsidP="007363C8">
            <w:pPr>
              <w:pStyle w:val="IQB-Merkmalswert"/>
            </w:pPr>
            <w:r>
              <w:t>Mit symbolischen/ formalen/ technischen Elementen umgehen (K5),</w:t>
            </w:r>
          </w:p>
          <w:p w:rsidR="00190086" w:rsidRDefault="00190086" w:rsidP="007363C8">
            <w:pPr>
              <w:pStyle w:val="IQB-Merkmalswert"/>
            </w:pPr>
            <w:r w:rsidRPr="008C18E4">
              <w:t>Mathematisch kommunizieren (K6)</w:t>
            </w:r>
          </w:p>
        </w:tc>
      </w:tr>
      <w:tr w:rsidR="00190086" w:rsidTr="00190086">
        <w:tc>
          <w:tcPr>
            <w:tcW w:w="2466" w:type="dxa"/>
            <w:vAlign w:val="center"/>
          </w:tcPr>
          <w:p w:rsidR="00190086" w:rsidRDefault="00190086" w:rsidP="007363C8">
            <w:pPr>
              <w:pStyle w:val="IQB-Merkmal"/>
            </w:pPr>
            <w:r>
              <w:t>Anforderungsbereich</w:t>
            </w:r>
          </w:p>
        </w:tc>
        <w:tc>
          <w:tcPr>
            <w:tcW w:w="6604" w:type="dxa"/>
          </w:tcPr>
          <w:p w:rsidR="00190086" w:rsidRDefault="00190086" w:rsidP="007363C8">
            <w:pPr>
              <w:pStyle w:val="IQB-Merkmalswert"/>
            </w:pPr>
            <w:r>
              <w:t>II</w:t>
            </w:r>
          </w:p>
        </w:tc>
      </w:tr>
      <w:tr w:rsidR="00190086" w:rsidTr="00190086">
        <w:tc>
          <w:tcPr>
            <w:tcW w:w="2466" w:type="dxa"/>
            <w:tcBorders>
              <w:bottom w:val="single" w:sz="4" w:space="0" w:color="auto"/>
            </w:tcBorders>
            <w:vAlign w:val="center"/>
          </w:tcPr>
          <w:p w:rsidR="00190086" w:rsidRDefault="00190086" w:rsidP="007363C8">
            <w:pPr>
              <w:pStyle w:val="IQB-Merkmal"/>
            </w:pPr>
            <w:r>
              <w:t>Kompetenzstufe</w:t>
            </w:r>
          </w:p>
        </w:tc>
        <w:tc>
          <w:tcPr>
            <w:tcW w:w="6604" w:type="dxa"/>
            <w:tcBorders>
              <w:bottom w:val="single" w:sz="4" w:space="0" w:color="auto"/>
            </w:tcBorders>
          </w:tcPr>
          <w:p w:rsidR="00190086" w:rsidRDefault="00190086" w:rsidP="007363C8">
            <w:pPr>
              <w:pStyle w:val="IQB-Merkmalswert"/>
            </w:pPr>
            <w:r>
              <w:t>3</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190086" w:rsidTr="00190086">
        <w:tc>
          <w:tcPr>
            <w:tcW w:w="2466" w:type="dxa"/>
            <w:tcBorders>
              <w:top w:val="single" w:sz="4" w:space="0" w:color="auto"/>
            </w:tcBorders>
            <w:vAlign w:val="center"/>
          </w:tcPr>
          <w:p w:rsidR="00190086" w:rsidRDefault="00190086" w:rsidP="007363C8">
            <w:pPr>
              <w:pStyle w:val="IQB-Merkmal"/>
            </w:pPr>
            <w:r>
              <w:t>Leitidee</w:t>
            </w:r>
          </w:p>
        </w:tc>
        <w:tc>
          <w:tcPr>
            <w:tcW w:w="6604" w:type="dxa"/>
            <w:tcBorders>
              <w:top w:val="single" w:sz="4" w:space="0" w:color="auto"/>
            </w:tcBorders>
          </w:tcPr>
          <w:p w:rsidR="00190086" w:rsidRDefault="00190086" w:rsidP="007363C8">
            <w:pPr>
              <w:pStyle w:val="IQB-Merkmalswert"/>
            </w:pPr>
            <w:r>
              <w:t>5. Daten und Zufall</w:t>
            </w:r>
          </w:p>
        </w:tc>
      </w:tr>
      <w:tr w:rsidR="00190086" w:rsidTr="00190086">
        <w:tc>
          <w:tcPr>
            <w:tcW w:w="2466" w:type="dxa"/>
            <w:vAlign w:val="center"/>
          </w:tcPr>
          <w:p w:rsidR="00190086" w:rsidRDefault="00190086" w:rsidP="007363C8">
            <w:pPr>
              <w:pStyle w:val="IQB-Merkmal"/>
            </w:pPr>
            <w:r>
              <w:t>Allgemeine Kompetenz</w:t>
            </w:r>
          </w:p>
        </w:tc>
        <w:tc>
          <w:tcPr>
            <w:tcW w:w="6604" w:type="dxa"/>
          </w:tcPr>
          <w:p w:rsidR="00190086" w:rsidRDefault="00190086" w:rsidP="007363C8">
            <w:pPr>
              <w:pStyle w:val="IQB-Merkmalswert"/>
            </w:pPr>
            <w:r>
              <w:t>Mathematisches Modellieren (K3),</w:t>
            </w:r>
            <w:r>
              <w:tab/>
            </w:r>
          </w:p>
          <w:p w:rsidR="00190086" w:rsidRDefault="00190086" w:rsidP="007363C8">
            <w:pPr>
              <w:pStyle w:val="IQB-Merkmalswert"/>
            </w:pPr>
            <w:r>
              <w:t>Mit Mathematik symbolisch/ formal/ technisch umgehen (K5),</w:t>
            </w:r>
          </w:p>
          <w:p w:rsidR="00190086" w:rsidRDefault="00190086" w:rsidP="007363C8">
            <w:pPr>
              <w:pStyle w:val="IQB-Merkmalswert"/>
            </w:pPr>
            <w:r>
              <w:t>Mathematisch kommunizieren (K6)</w:t>
            </w:r>
          </w:p>
        </w:tc>
      </w:tr>
      <w:tr w:rsidR="00190086" w:rsidTr="00190086">
        <w:tc>
          <w:tcPr>
            <w:tcW w:w="2466" w:type="dxa"/>
            <w:vAlign w:val="center"/>
          </w:tcPr>
          <w:p w:rsidR="00190086" w:rsidRDefault="00190086" w:rsidP="007363C8">
            <w:pPr>
              <w:pStyle w:val="IQB-Merkmal"/>
            </w:pPr>
            <w:r>
              <w:t>Anforderungsbereich</w:t>
            </w:r>
          </w:p>
        </w:tc>
        <w:tc>
          <w:tcPr>
            <w:tcW w:w="6604" w:type="dxa"/>
          </w:tcPr>
          <w:p w:rsidR="00190086" w:rsidRDefault="00190086" w:rsidP="007363C8">
            <w:pPr>
              <w:pStyle w:val="IQB-Merkmalswert"/>
            </w:pPr>
            <w:r>
              <w:t>II</w:t>
            </w:r>
          </w:p>
        </w:tc>
      </w:tr>
      <w:tr w:rsidR="00190086" w:rsidTr="00190086">
        <w:tc>
          <w:tcPr>
            <w:tcW w:w="2466" w:type="dxa"/>
            <w:tcBorders>
              <w:bottom w:val="single" w:sz="4" w:space="0" w:color="auto"/>
            </w:tcBorders>
            <w:vAlign w:val="center"/>
          </w:tcPr>
          <w:p w:rsidR="00190086" w:rsidRDefault="00190086" w:rsidP="007363C8">
            <w:pPr>
              <w:pStyle w:val="IQB-Merkmal"/>
            </w:pPr>
            <w:r>
              <w:t>Kompetenzstufe</w:t>
            </w:r>
          </w:p>
        </w:tc>
        <w:tc>
          <w:tcPr>
            <w:tcW w:w="6604" w:type="dxa"/>
            <w:tcBorders>
              <w:bottom w:val="single" w:sz="4" w:space="0" w:color="auto"/>
            </w:tcBorders>
          </w:tcPr>
          <w:p w:rsidR="00190086" w:rsidRDefault="00190086" w:rsidP="007363C8">
            <w:pPr>
              <w:pStyle w:val="IQB-Merkmalswert"/>
            </w:pPr>
            <w:r>
              <w:t>4</w:t>
            </w:r>
          </w:p>
        </w:tc>
      </w:tr>
    </w:tbl>
    <w:p w:rsidR="00694A63" w:rsidRPr="00694A63" w:rsidRDefault="00694A63" w:rsidP="00694A63">
      <w:pPr>
        <w:pStyle w:val="IQB-Teilaufgabentitel"/>
        <w:rPr>
          <w:b/>
        </w:rPr>
      </w:pPr>
      <w:r w:rsidRPr="00694A63">
        <w:rPr>
          <w:b/>
        </w:rPr>
        <w:t>Aufgabenbezogener Kommentar</w:t>
      </w:r>
    </w:p>
    <w:p w:rsidR="00190086" w:rsidRDefault="00190086" w:rsidP="00190086">
      <w:pPr>
        <w:pStyle w:val="IQB-Standard"/>
        <w:rPr>
          <w:sz w:val="22"/>
          <w:szCs w:val="22"/>
        </w:rPr>
      </w:pPr>
      <w:r w:rsidRPr="00DB18C7">
        <w:rPr>
          <w:sz w:val="22"/>
          <w:szCs w:val="22"/>
        </w:rPr>
        <w:t>Diese Aufgabe gehört zur Leitidee Daten und Zufall (L5), weil hier Wahrscheinlichkeiten berechnet werden sollen.</w:t>
      </w:r>
      <w:r>
        <w:rPr>
          <w:sz w:val="22"/>
          <w:szCs w:val="22"/>
        </w:rPr>
        <w:t xml:space="preserve"> </w:t>
      </w:r>
      <w:r w:rsidRPr="00DB18C7">
        <w:rPr>
          <w:sz w:val="22"/>
          <w:szCs w:val="22"/>
        </w:rPr>
        <w:t xml:space="preserve">In dem vorangestellten Aufgabentext wird eine Verlosung mit Rubbellosen beschrieben, in der die Teilnehmerinnen und Teilnehmer verschiedene Preise erhalten können. </w:t>
      </w:r>
    </w:p>
    <w:p w:rsidR="00190086" w:rsidRPr="00DB18C7" w:rsidRDefault="00190086" w:rsidP="00190086">
      <w:pPr>
        <w:pStyle w:val="IQB-Standard"/>
        <w:rPr>
          <w:sz w:val="22"/>
          <w:szCs w:val="22"/>
        </w:rPr>
      </w:pPr>
      <w:r w:rsidRPr="00DB18C7">
        <w:rPr>
          <w:sz w:val="22"/>
          <w:szCs w:val="22"/>
        </w:rPr>
        <w:t>In Teilaufgabe 1 wird gefragt, mit welcher Wahrscheinlichkeit ein Teilnehmer einen Fußball erhält. Im Aufgabentext sind neben einigen für die Beantwortung dieser Frage unwichtigen Informationen auch Angaben über die Anzahl der entsprechenden Gewinnlose und der Gesamtzahl aller Lose enthalten (K6). Unter Rückgriff auf diese Angaben kann die gesuchte Wahrscheinlichkeit über das Modell der Laplace-Wahrscheinlichkeit ermittelt</w:t>
      </w:r>
      <w:r>
        <w:rPr>
          <w:sz w:val="22"/>
          <w:szCs w:val="22"/>
        </w:rPr>
        <w:t xml:space="preserve"> werden (K3). </w:t>
      </w:r>
      <w:r w:rsidRPr="00DB18C7">
        <w:rPr>
          <w:sz w:val="22"/>
          <w:szCs w:val="22"/>
        </w:rPr>
        <w:t>Um diese mit den Antwortmöglichkeiten vergleichen zu können, muss der erhaltene Bruch gekürzt werden (K5).</w:t>
      </w:r>
    </w:p>
    <w:p w:rsidR="00190086" w:rsidRPr="00DB18C7" w:rsidRDefault="00190086" w:rsidP="00190086">
      <w:pPr>
        <w:pStyle w:val="IQB-Standard"/>
        <w:rPr>
          <w:sz w:val="22"/>
          <w:szCs w:val="22"/>
        </w:rPr>
      </w:pPr>
      <w:r w:rsidRPr="00DB18C7">
        <w:rPr>
          <w:sz w:val="22"/>
          <w:szCs w:val="22"/>
        </w:rPr>
        <w:t>In Teilaufgabe 2 soll umgekehrt aus gegebenen Gewinnwahrscheinlichkeiten berechnet werden, wie häufig ein bestimmter Gewinn vorhanden sein muss (K3). Laut Aufgabentext beträgt die Wahrscheinlichkeit für den Gewinn einer Autofahne 1/25 und 1/3aller Autofahnen sind Deutschlandfahnen. Diese Informationen müssen von den Lernenden korrekt erfasst und eingeordnet werden, um die Aufgabe richtig zu lösen (K6). Mit der Pfadmultiplikationsregel lässt sich hieraus zunächst die Gewinnwahrscheinlichkeit für eine Deutschlandfahne und anschließend durch Multiplikation mit der Gesamtzahl der Lose die Anzahl der Deutschlandfahnen errechnen (K5).</w:t>
      </w:r>
    </w:p>
    <w:p w:rsidR="00190086" w:rsidRPr="00DB18C7" w:rsidRDefault="00190086" w:rsidP="00190086">
      <w:pPr>
        <w:pStyle w:val="IQB-Standard"/>
        <w:rPr>
          <w:sz w:val="22"/>
          <w:szCs w:val="22"/>
        </w:rPr>
      </w:pPr>
      <w:r w:rsidRPr="00DB18C7">
        <w:rPr>
          <w:sz w:val="22"/>
          <w:szCs w:val="22"/>
        </w:rPr>
        <w:t>Beide Teilaufgaben werden aufgrund der Anforderungen an das sinnentnehmende Lesen und der durchzuführenden Berechnungen dem Anforderungsbereich II zugeordnet.</w:t>
      </w:r>
    </w:p>
    <w:p w:rsidR="00694A63" w:rsidRPr="00694A63" w:rsidRDefault="00694A63" w:rsidP="00694A63">
      <w:pPr>
        <w:pStyle w:val="IQB-Teilaufgabentitel"/>
        <w:rPr>
          <w:b/>
        </w:rPr>
      </w:pPr>
      <w:r w:rsidRPr="00694A63">
        <w:rPr>
          <w:b/>
        </w:rPr>
        <w:t>Anregungen für den Unterricht</w:t>
      </w:r>
    </w:p>
    <w:p w:rsidR="00190086" w:rsidRPr="00DB18C7" w:rsidRDefault="00190086" w:rsidP="00190086">
      <w:pPr>
        <w:pStyle w:val="IQB-Standard"/>
        <w:rPr>
          <w:sz w:val="22"/>
          <w:szCs w:val="22"/>
        </w:rPr>
      </w:pPr>
      <w:r w:rsidRPr="00DB18C7">
        <w:rPr>
          <w:sz w:val="22"/>
          <w:szCs w:val="22"/>
        </w:rPr>
        <w:t>In beiden Teilaufgaben wird u.</w:t>
      </w:r>
      <w:r>
        <w:rPr>
          <w:sz w:val="11"/>
          <w:szCs w:val="11"/>
        </w:rPr>
        <w:t> </w:t>
      </w:r>
      <w:r w:rsidRPr="00DB18C7">
        <w:rPr>
          <w:sz w:val="22"/>
          <w:szCs w:val="22"/>
        </w:rPr>
        <w:t>a. auf die Kompetenz Mathematisches Modellieren (K3) abgezielt. Im Unterricht können die Schülerinnen und Schüler, anders als in einer eng gefassten Testsituation, auch komplexere Modelle erstellen. Erst dann, wenn Lernende aus verschiedenen Modellen wie Ziehen mit bzw. ohne Zurücklegen ein passendes auswählen können oder eigene Modelle zu einer Sachsituation erstellen, liegt ein echtes Modellierungsproblem vor, welches von bloßen (eingekleideten) Textaufgaben abzugrenzen ist, die das Modell bereits implizit enthalten.</w:t>
      </w:r>
    </w:p>
    <w:p w:rsidR="00190086" w:rsidRPr="00DB18C7" w:rsidRDefault="00190086" w:rsidP="00190086">
      <w:pPr>
        <w:pStyle w:val="IQB-Standard"/>
        <w:rPr>
          <w:sz w:val="22"/>
          <w:szCs w:val="22"/>
        </w:rPr>
      </w:pPr>
      <w:r w:rsidRPr="00DB18C7">
        <w:rPr>
          <w:sz w:val="22"/>
          <w:szCs w:val="22"/>
        </w:rPr>
        <w:t>Im Stochastikunterricht kann der Kontext Glücksspiel auf zweierlei Weise zur Förderung der Modellierungskompetenzen der Lernenden herangezogen werden. Zum einen bietet es sich an, den Schülerinnen und Schülern solche Glücksspielsituationen zu präsentieren, die tatsächlich die Diskussion verschiedener vorgegebener mathematischer Modelle erlauben (Übersetzung von Realität in Mathematik).</w:t>
      </w:r>
    </w:p>
    <w:p w:rsidR="00190086" w:rsidRPr="00DB18C7" w:rsidRDefault="00190086" w:rsidP="00190086">
      <w:pPr>
        <w:pStyle w:val="IQB-Standard"/>
        <w:rPr>
          <w:sz w:val="22"/>
          <w:szCs w:val="22"/>
        </w:rPr>
      </w:pPr>
      <w:r w:rsidRPr="00DB18C7">
        <w:rPr>
          <w:sz w:val="22"/>
          <w:szCs w:val="22"/>
        </w:rPr>
        <w:t xml:space="preserve">Zum anderen können aber auch mathematische Wahrscheinlichkeiten vorgegeben werden, zu denen die Lernenden ein Glücksspiel entwickeln sollen (Übersetzung von Mathematik in </w:t>
      </w:r>
      <w:r w:rsidRPr="00DB18C7">
        <w:rPr>
          <w:sz w:val="22"/>
          <w:szCs w:val="22"/>
        </w:rPr>
        <w:lastRenderedPageBreak/>
        <w:t>Realität).Hierdurch ließe sich insbesondere auch die Kompetenz Mathematisch Kommunizieren (K6) fördern. Einzelne Lerngruppen könnten etwa auch ein eigenständig entwickeltes Glücksspiel präsentieren und anhand einer Präsentation im Plenum erläutern, inwiefern die mathematischen Vorgaben umgesetzt wurden.</w:t>
      </w:r>
    </w:p>
    <w:p w:rsidR="00694A63" w:rsidRPr="007E6CC0" w:rsidRDefault="00694A63" w:rsidP="00190086">
      <w:pPr>
        <w:pStyle w:val="IQB-Standard"/>
        <w:rPr>
          <w:sz w:val="22"/>
          <w:szCs w:val="22"/>
        </w:rPr>
      </w:pP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A86E880-38A7-4B1F-A85E-6B398984DB01}"/>
    <w:embedBold r:id="rId2" w:fontKey="{FBBA839B-CE81-47B3-8ED9-2D33C6171A0E}"/>
    <w:embedBoldItalic r:id="rId3" w:fontKey="{E32F5223-EFE9-4CCC-9186-FA9CB97F0D4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9008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458FD58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74D00-A8CF-496B-A0E1-F71F6A1ED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443</Words>
  <Characters>3191</Characters>
  <Application>Microsoft Office Word</Application>
  <DocSecurity>0</DocSecurity>
  <Lines>290</Lines>
  <Paragraphs>302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2025-06-03T13:39:00Z</dcterms:created>
  <dcterms:modified xsi:type="dcterms:W3CDTF">2025-06-03T13:39:00Z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